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DFC5" w14:textId="74BD5C02" w:rsidR="00CE7D9E" w:rsidRPr="003A1B7B" w:rsidRDefault="00CE7D9E" w:rsidP="003A1B7B">
      <w:pPr>
        <w:jc w:val="center"/>
        <w:rPr>
          <w:rFonts w:ascii="Arial Narrow" w:hAnsi="Arial Narrow"/>
          <w:b/>
          <w:bCs/>
          <w:u w:val="single"/>
        </w:rPr>
      </w:pPr>
      <w:r w:rsidRPr="003A1B7B">
        <w:rPr>
          <w:rFonts w:ascii="Arial Narrow" w:hAnsi="Arial Narrow"/>
          <w:b/>
          <w:bCs/>
          <w:u w:val="single"/>
        </w:rPr>
        <w:t>Lockington Parish Council – Proposed Land Exchange</w:t>
      </w:r>
    </w:p>
    <w:p w14:paraId="35136754" w14:textId="11230DCB" w:rsidR="00CE7D9E" w:rsidRPr="003A1B7B" w:rsidRDefault="00CE7D9E" w:rsidP="003A1B7B">
      <w:pPr>
        <w:jc w:val="center"/>
        <w:rPr>
          <w:rFonts w:ascii="Arial Narrow" w:hAnsi="Arial Narrow"/>
          <w:b/>
          <w:bCs/>
          <w:u w:val="single"/>
        </w:rPr>
      </w:pPr>
      <w:r w:rsidRPr="003A1B7B">
        <w:rPr>
          <w:rFonts w:ascii="Arial Narrow" w:hAnsi="Arial Narrow"/>
          <w:b/>
          <w:bCs/>
          <w:u w:val="single"/>
        </w:rPr>
        <w:t>Summary: Land &amp; Valuation Issues</w:t>
      </w:r>
    </w:p>
    <w:p w14:paraId="08D4EC3B" w14:textId="6B7751D9" w:rsidR="00CE7D9E" w:rsidRPr="003A1B7B" w:rsidRDefault="00CE7D9E" w:rsidP="003A1B7B">
      <w:pPr>
        <w:jc w:val="both"/>
        <w:rPr>
          <w:rFonts w:ascii="Arial Narrow" w:hAnsi="Arial Narrow"/>
          <w:b/>
          <w:bCs/>
          <w:u w:val="single"/>
        </w:rPr>
      </w:pPr>
    </w:p>
    <w:p w14:paraId="1E39D5B5" w14:textId="37B905F9" w:rsidR="001C6B9A" w:rsidRPr="003A1B7B" w:rsidRDefault="00CE7D9E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The Parish Council own a small field </w:t>
      </w:r>
      <w:r w:rsidR="003A1B7B">
        <w:rPr>
          <w:rFonts w:ascii="Arial Narrow" w:hAnsi="Arial Narrow"/>
        </w:rPr>
        <w:t>on</w:t>
      </w:r>
      <w:r w:rsidRPr="003A1B7B">
        <w:rPr>
          <w:rFonts w:ascii="Arial Narrow" w:hAnsi="Arial Narrow"/>
        </w:rPr>
        <w:t xml:space="preserve"> Station Road and the former Tip site at the top of Dalton Road. Neither contributes much to village life or activities.</w:t>
      </w:r>
      <w:r w:rsidR="001C6B9A" w:rsidRPr="003A1B7B">
        <w:rPr>
          <w:rFonts w:ascii="Arial Narrow" w:hAnsi="Arial Narrow"/>
        </w:rPr>
        <w:t xml:space="preserve"> Accordingly, s</w:t>
      </w:r>
      <w:r w:rsidRPr="003A1B7B">
        <w:rPr>
          <w:rFonts w:ascii="Arial Narrow" w:hAnsi="Arial Narrow"/>
        </w:rPr>
        <w:t xml:space="preserve">ubject to various conditions, the Parish Council  have agreed </w:t>
      </w:r>
      <w:r w:rsidR="001C6B9A" w:rsidRPr="003A1B7B">
        <w:rPr>
          <w:rFonts w:ascii="Arial Narrow" w:hAnsi="Arial Narrow"/>
        </w:rPr>
        <w:t xml:space="preserve">with Dalton Estate to </w:t>
      </w:r>
      <w:r w:rsidRPr="003A1B7B">
        <w:rPr>
          <w:rFonts w:ascii="Arial Narrow" w:hAnsi="Arial Narrow"/>
        </w:rPr>
        <w:t xml:space="preserve">exchange </w:t>
      </w:r>
      <w:r w:rsidR="001C6B9A" w:rsidRPr="003A1B7B">
        <w:rPr>
          <w:rFonts w:ascii="Arial Narrow" w:hAnsi="Arial Narrow"/>
        </w:rPr>
        <w:t xml:space="preserve">these two sites for  a parcel of land in the centre of the village that could potentially provide some community benefit and use. This could simply be </w:t>
      </w:r>
      <w:r w:rsidR="00E55E00">
        <w:rPr>
          <w:rFonts w:ascii="Arial Narrow" w:hAnsi="Arial Narrow"/>
        </w:rPr>
        <w:t xml:space="preserve">a </w:t>
      </w:r>
      <w:r w:rsidR="001C6B9A" w:rsidRPr="003A1B7B">
        <w:rPr>
          <w:rFonts w:ascii="Arial Narrow" w:hAnsi="Arial Narrow"/>
        </w:rPr>
        <w:t xml:space="preserve">community </w:t>
      </w:r>
      <w:r w:rsidR="00E55E00" w:rsidRPr="003A1B7B">
        <w:rPr>
          <w:rFonts w:ascii="Arial Narrow" w:hAnsi="Arial Narrow"/>
        </w:rPr>
        <w:t>gr</w:t>
      </w:r>
      <w:r w:rsidR="00E55E00">
        <w:rPr>
          <w:rFonts w:ascii="Arial Narrow" w:hAnsi="Arial Narrow"/>
        </w:rPr>
        <w:t>een</w:t>
      </w:r>
      <w:bookmarkStart w:id="0" w:name="_GoBack"/>
      <w:bookmarkEnd w:id="0"/>
      <w:r w:rsidR="001C6B9A" w:rsidRPr="003A1B7B">
        <w:rPr>
          <w:rFonts w:ascii="Arial Narrow" w:hAnsi="Arial Narrow"/>
        </w:rPr>
        <w:t xml:space="preserve"> with some facilities but residents are to be consulted for their views and no decisions have been made to date. </w:t>
      </w:r>
    </w:p>
    <w:p w14:paraId="4A3F8102" w14:textId="77777777" w:rsidR="001C6B9A" w:rsidRPr="003A1B7B" w:rsidRDefault="001C6B9A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214D372E" w14:textId="1F5500B1" w:rsidR="002E42BA" w:rsidRPr="003A1B7B" w:rsidRDefault="001C6B9A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Any land transaction by the Parish Council </w:t>
      </w:r>
      <w:r w:rsidR="003A1B7B">
        <w:rPr>
          <w:rFonts w:ascii="Arial Narrow" w:hAnsi="Arial Narrow"/>
        </w:rPr>
        <w:t>must</w:t>
      </w:r>
      <w:r w:rsidRPr="003A1B7B">
        <w:rPr>
          <w:rFonts w:ascii="Arial Narrow" w:hAnsi="Arial Narrow"/>
        </w:rPr>
        <w:t xml:space="preserve"> satisfy certain statutory requirements to ensure that the </w:t>
      </w:r>
      <w:r w:rsidR="002E42BA" w:rsidRPr="003A1B7B">
        <w:rPr>
          <w:rFonts w:ascii="Arial Narrow" w:hAnsi="Arial Narrow"/>
        </w:rPr>
        <w:t>‘</w:t>
      </w:r>
      <w:r w:rsidRPr="003A1B7B">
        <w:rPr>
          <w:rFonts w:ascii="Arial Narrow" w:hAnsi="Arial Narrow"/>
        </w:rPr>
        <w:t>disposal</w:t>
      </w:r>
      <w:r w:rsidR="002E42BA" w:rsidRPr="003A1B7B">
        <w:rPr>
          <w:rFonts w:ascii="Arial Narrow" w:hAnsi="Arial Narrow"/>
        </w:rPr>
        <w:t>’</w:t>
      </w:r>
      <w:r w:rsidRPr="003A1B7B">
        <w:rPr>
          <w:rFonts w:ascii="Arial Narrow" w:hAnsi="Arial Narrow"/>
        </w:rPr>
        <w:t xml:space="preserve"> is </w:t>
      </w:r>
      <w:r w:rsidR="002E42BA" w:rsidRPr="003A1B7B">
        <w:rPr>
          <w:rFonts w:ascii="Arial Narrow" w:hAnsi="Arial Narrow"/>
        </w:rPr>
        <w:t xml:space="preserve">on the basis of </w:t>
      </w:r>
      <w:r w:rsidRPr="003A1B7B">
        <w:rPr>
          <w:rFonts w:ascii="Arial Narrow" w:hAnsi="Arial Narrow"/>
        </w:rPr>
        <w:t>“best consideration</w:t>
      </w:r>
      <w:r w:rsidR="002E42BA" w:rsidRPr="003A1B7B">
        <w:rPr>
          <w:rFonts w:ascii="Arial Narrow" w:hAnsi="Arial Narrow"/>
        </w:rPr>
        <w:t xml:space="preserve"> reasonably obtainable”. There are various methods of ‘disposal’ and in the case of a land exchange – which is the only feasible way to secure a parcel of land in the centre of </w:t>
      </w:r>
      <w:r w:rsidR="00DA6A9D">
        <w:rPr>
          <w:rFonts w:ascii="Arial Narrow" w:hAnsi="Arial Narrow"/>
        </w:rPr>
        <w:t xml:space="preserve">Lockington </w:t>
      </w:r>
      <w:r w:rsidR="002E42BA" w:rsidRPr="003A1B7B">
        <w:rPr>
          <w:rFonts w:ascii="Arial Narrow" w:hAnsi="Arial Narrow"/>
        </w:rPr>
        <w:t xml:space="preserve">village </w:t>
      </w:r>
      <w:r w:rsidR="00DA6A9D">
        <w:rPr>
          <w:rFonts w:ascii="Arial Narrow" w:hAnsi="Arial Narrow"/>
        </w:rPr>
        <w:t xml:space="preserve">given current land ownerships </w:t>
      </w:r>
      <w:r w:rsidR="002E42BA" w:rsidRPr="003A1B7B">
        <w:rPr>
          <w:rFonts w:ascii="Arial Narrow" w:hAnsi="Arial Narrow"/>
        </w:rPr>
        <w:t xml:space="preserve">-  the exchange land should be of equal value. </w:t>
      </w:r>
    </w:p>
    <w:p w14:paraId="2A4AB3DB" w14:textId="77777777" w:rsidR="002E42BA" w:rsidRPr="003A1B7B" w:rsidRDefault="002E42BA" w:rsidP="003A1B7B">
      <w:pPr>
        <w:pStyle w:val="ListParagraph"/>
        <w:jc w:val="both"/>
        <w:rPr>
          <w:rFonts w:ascii="Arial Narrow" w:hAnsi="Arial Narrow"/>
        </w:rPr>
      </w:pPr>
    </w:p>
    <w:p w14:paraId="79918B93" w14:textId="47DF3FA4" w:rsidR="00536FC7" w:rsidRPr="003A1B7B" w:rsidRDefault="00536FC7" w:rsidP="003A1B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>Before proceeding further, th</w:t>
      </w:r>
      <w:r w:rsidR="002E42BA" w:rsidRPr="003A1B7B">
        <w:rPr>
          <w:rFonts w:ascii="Arial Narrow" w:hAnsi="Arial Narrow"/>
        </w:rPr>
        <w:t xml:space="preserve">e Parish Council have </w:t>
      </w:r>
      <w:r w:rsidRPr="003A1B7B">
        <w:rPr>
          <w:rFonts w:ascii="Arial Narrow" w:hAnsi="Arial Narrow"/>
        </w:rPr>
        <w:t xml:space="preserve">therefore </w:t>
      </w:r>
      <w:r w:rsidR="002E42BA" w:rsidRPr="003A1B7B">
        <w:rPr>
          <w:rFonts w:ascii="Arial Narrow" w:hAnsi="Arial Narrow"/>
        </w:rPr>
        <w:t>sought independent valuation advice  from Messrs Leonards</w:t>
      </w:r>
      <w:r w:rsidRPr="003A1B7B">
        <w:rPr>
          <w:rFonts w:ascii="Arial Narrow" w:hAnsi="Arial Narrow"/>
        </w:rPr>
        <w:t>, Chartered Surveyors</w:t>
      </w:r>
      <w:r w:rsidR="002E42BA" w:rsidRPr="003A1B7B">
        <w:rPr>
          <w:rFonts w:ascii="Arial Narrow" w:hAnsi="Arial Narrow"/>
        </w:rPr>
        <w:t xml:space="preserve">. A valuation of all three sites has been carried out </w:t>
      </w:r>
      <w:r w:rsidRPr="003A1B7B">
        <w:rPr>
          <w:rFonts w:ascii="Arial Narrow" w:hAnsi="Arial Narrow"/>
        </w:rPr>
        <w:t xml:space="preserve">by Messrs Leonards </w:t>
      </w:r>
      <w:r w:rsidR="002E42BA" w:rsidRPr="003A1B7B">
        <w:rPr>
          <w:rFonts w:ascii="Arial Narrow" w:hAnsi="Arial Narrow"/>
        </w:rPr>
        <w:t xml:space="preserve">in </w:t>
      </w:r>
      <w:r w:rsidR="003A1B7B">
        <w:rPr>
          <w:rFonts w:ascii="Arial Narrow" w:hAnsi="Arial Narrow"/>
        </w:rPr>
        <w:t>c</w:t>
      </w:r>
      <w:r w:rsidR="00797733" w:rsidRPr="003A1B7B">
        <w:rPr>
          <w:rFonts w:ascii="Arial Narrow" w:hAnsi="Arial Narrow"/>
        </w:rPr>
        <w:t xml:space="preserve">ompliance with RICS Valuation &amp; IVS Global Standard 2017. </w:t>
      </w:r>
      <w:r w:rsidRPr="003A1B7B">
        <w:rPr>
          <w:rFonts w:ascii="Arial Narrow" w:hAnsi="Arial Narrow"/>
        </w:rPr>
        <w:t xml:space="preserve">A detailed Valuation Report dated </w:t>
      </w:r>
      <w:r w:rsidR="00DA6A9D">
        <w:rPr>
          <w:rFonts w:ascii="Arial Narrow" w:hAnsi="Arial Narrow"/>
        </w:rPr>
        <w:t>22</w:t>
      </w:r>
      <w:r w:rsidR="00DA6A9D" w:rsidRPr="00DA6A9D">
        <w:rPr>
          <w:rFonts w:ascii="Arial Narrow" w:hAnsi="Arial Narrow"/>
          <w:vertAlign w:val="superscript"/>
        </w:rPr>
        <w:t>nd</w:t>
      </w:r>
      <w:r w:rsidR="00DA6A9D">
        <w:rPr>
          <w:rFonts w:ascii="Arial Narrow" w:hAnsi="Arial Narrow"/>
        </w:rPr>
        <w:t xml:space="preserve"> June 2020</w:t>
      </w:r>
      <w:r w:rsidRPr="003A1B7B">
        <w:rPr>
          <w:rFonts w:ascii="Arial Narrow" w:hAnsi="Arial Narrow"/>
        </w:rPr>
        <w:t xml:space="preserve"> has been </w:t>
      </w:r>
      <w:r w:rsidR="00DA6A9D">
        <w:rPr>
          <w:rFonts w:ascii="Arial Narrow" w:hAnsi="Arial Narrow"/>
        </w:rPr>
        <w:t xml:space="preserve">prepared for the Parish Council </w:t>
      </w:r>
      <w:r w:rsidRPr="003A1B7B">
        <w:rPr>
          <w:rFonts w:ascii="Arial Narrow" w:hAnsi="Arial Narrow"/>
        </w:rPr>
        <w:t xml:space="preserve">and, in summary, the </w:t>
      </w:r>
      <w:r w:rsidR="004E6B3C" w:rsidRPr="003A1B7B">
        <w:rPr>
          <w:rFonts w:ascii="Arial Narrow" w:hAnsi="Arial Narrow"/>
        </w:rPr>
        <w:t xml:space="preserve">Valuation figures </w:t>
      </w:r>
      <w:r w:rsidR="003A1B7B">
        <w:rPr>
          <w:rFonts w:ascii="Arial Narrow" w:hAnsi="Arial Narrow"/>
        </w:rPr>
        <w:t xml:space="preserve">are </w:t>
      </w:r>
      <w:r w:rsidR="00DA6A9D">
        <w:rPr>
          <w:rFonts w:ascii="Arial Narrow" w:hAnsi="Arial Narrow"/>
        </w:rPr>
        <w:t xml:space="preserve">as </w:t>
      </w:r>
      <w:r w:rsidR="003A1B7B">
        <w:rPr>
          <w:rFonts w:ascii="Arial Narrow" w:hAnsi="Arial Narrow"/>
        </w:rPr>
        <w:t xml:space="preserve">shown below </w:t>
      </w:r>
      <w:r w:rsidR="00797733" w:rsidRPr="003A1B7B">
        <w:rPr>
          <w:rFonts w:ascii="Arial Narrow" w:hAnsi="Arial Narrow"/>
        </w:rPr>
        <w:t xml:space="preserve">and the plans </w:t>
      </w:r>
      <w:r w:rsidR="00DA6A9D">
        <w:rPr>
          <w:rFonts w:ascii="Arial Narrow" w:hAnsi="Arial Narrow"/>
        </w:rPr>
        <w:t>on the next page:</w:t>
      </w:r>
    </w:p>
    <w:p w14:paraId="5FA48AA6" w14:textId="77777777" w:rsidR="00536FC7" w:rsidRPr="003A1B7B" w:rsidRDefault="00536FC7" w:rsidP="003A1B7B">
      <w:pPr>
        <w:pStyle w:val="ListParagraph"/>
        <w:jc w:val="both"/>
        <w:rPr>
          <w:rFonts w:ascii="Arial Narrow" w:hAnsi="Arial Narrow"/>
        </w:rPr>
      </w:pPr>
    </w:p>
    <w:p w14:paraId="5AAEE5F1" w14:textId="62EACFE3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</w:rPr>
        <w:t xml:space="preserve">  </w:t>
      </w:r>
      <w:r w:rsidRPr="003A1B7B">
        <w:rPr>
          <w:rFonts w:ascii="Arial Narrow" w:hAnsi="Arial Narrow"/>
          <w:u w:val="single"/>
        </w:rPr>
        <w:t xml:space="preserve">Old Holme Pit, Thorpe Road, Lockington, East Yorkshire </w:t>
      </w:r>
    </w:p>
    <w:p w14:paraId="499CF24D" w14:textId="334CF4D0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0.7090 hectares (1.75 acres).   </w:t>
      </w:r>
    </w:p>
    <w:p w14:paraId="067C66CE" w14:textId="3D963103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Valuation figure - the sum of </w:t>
      </w:r>
      <w:r w:rsidRPr="003A1B7B">
        <w:rPr>
          <w:rFonts w:ascii="Arial Narrow" w:hAnsi="Arial Narrow"/>
          <w:b/>
          <w:bCs/>
        </w:rPr>
        <w:t>£9,800</w:t>
      </w:r>
      <w:r w:rsidRPr="003A1B7B">
        <w:rPr>
          <w:rFonts w:ascii="Arial Narrow" w:hAnsi="Arial Narrow"/>
        </w:rPr>
        <w:t xml:space="preserve"> (Nine Thousand Eight Hundred Pounds) freehold with vacant possession. </w:t>
      </w:r>
    </w:p>
    <w:p w14:paraId="26F5BDD3" w14:textId="6D809E10" w:rsidR="004E6B3C" w:rsidRPr="003A1B7B" w:rsidRDefault="004E6B3C" w:rsidP="003A1B7B">
      <w:pPr>
        <w:pStyle w:val="ListParagraph"/>
        <w:ind w:left="1080"/>
        <w:jc w:val="both"/>
        <w:rPr>
          <w:rFonts w:ascii="Arial Narrow" w:hAnsi="Arial Narrow"/>
        </w:rPr>
      </w:pPr>
    </w:p>
    <w:p w14:paraId="3C87AC47" w14:textId="77777777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</w:rPr>
        <w:t xml:space="preserve"> </w:t>
      </w:r>
      <w:r w:rsidRPr="003A1B7B">
        <w:rPr>
          <w:rFonts w:ascii="Arial Narrow" w:hAnsi="Arial Narrow"/>
          <w:u w:val="single"/>
        </w:rPr>
        <w:t xml:space="preserve">Land Parcel South of Station Road, Lockington, East Yorkshire </w:t>
      </w:r>
    </w:p>
    <w:p w14:paraId="261A3111" w14:textId="77777777" w:rsidR="004E6B3C" w:rsidRPr="003A1B7B" w:rsidRDefault="004E6B3C" w:rsidP="003A1B7B">
      <w:pPr>
        <w:pStyle w:val="ListParagraph"/>
        <w:jc w:val="both"/>
        <w:rPr>
          <w:rFonts w:ascii="Arial Narrow" w:hAnsi="Arial Narrow"/>
          <w:u w:val="single"/>
        </w:rPr>
      </w:pPr>
    </w:p>
    <w:p w14:paraId="064CC7A5" w14:textId="00B4900B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0.5997 hectares (1.48 acres).   </w:t>
      </w:r>
    </w:p>
    <w:p w14:paraId="02F9C67A" w14:textId="0C080A52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Valuation figure - the sum of </w:t>
      </w:r>
      <w:r w:rsidRPr="003A1B7B">
        <w:rPr>
          <w:rFonts w:ascii="Arial Narrow" w:hAnsi="Arial Narrow"/>
          <w:b/>
          <w:bCs/>
        </w:rPr>
        <w:t>£14,500</w:t>
      </w:r>
      <w:r w:rsidRPr="003A1B7B">
        <w:rPr>
          <w:rFonts w:ascii="Arial Narrow" w:hAnsi="Arial Narrow"/>
        </w:rPr>
        <w:t xml:space="preserve"> (Fourteen Thousand Five Hundred Pounds) freehold with vacant possession. </w:t>
      </w:r>
    </w:p>
    <w:p w14:paraId="433FF436" w14:textId="69DEE58E" w:rsidR="004E6B3C" w:rsidRPr="003A1B7B" w:rsidRDefault="004E6B3C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7830F333" w14:textId="77777777" w:rsidR="004E6B3C" w:rsidRPr="003A1B7B" w:rsidRDefault="004E6B3C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  <w:u w:val="single"/>
        </w:rPr>
        <w:t xml:space="preserve">Paddock, Thorpe Road/Front Street, Lockington, East Yorkshire </w:t>
      </w:r>
    </w:p>
    <w:p w14:paraId="3A82DF0D" w14:textId="77777777" w:rsidR="004E6B3C" w:rsidRPr="003A1B7B" w:rsidRDefault="004E6B3C" w:rsidP="003A1B7B">
      <w:pPr>
        <w:pStyle w:val="ListParagraph"/>
        <w:jc w:val="both"/>
        <w:rPr>
          <w:rFonts w:ascii="Arial Narrow" w:hAnsi="Arial Narrow"/>
          <w:u w:val="single"/>
        </w:rPr>
      </w:pPr>
    </w:p>
    <w:p w14:paraId="08EEF300" w14:textId="7EABA33F" w:rsidR="004E6B3C" w:rsidRPr="003A1B7B" w:rsidRDefault="004E6B3C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Approximately  </w:t>
      </w:r>
      <w:r w:rsidR="00797733" w:rsidRPr="003A1B7B">
        <w:rPr>
          <w:rFonts w:ascii="Arial Narrow" w:hAnsi="Arial Narrow"/>
        </w:rPr>
        <w:t>0.2412 hectares (0.596 acres).</w:t>
      </w:r>
    </w:p>
    <w:p w14:paraId="2CE3F3D3" w14:textId="3B7CCB78" w:rsidR="00797733" w:rsidRPr="003A1B7B" w:rsidRDefault="00797733" w:rsidP="003A1B7B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Valuation figure </w:t>
      </w:r>
      <w:proofErr w:type="gramStart"/>
      <w:r w:rsidRPr="003A1B7B">
        <w:rPr>
          <w:rFonts w:ascii="Arial Narrow" w:hAnsi="Arial Narrow"/>
        </w:rPr>
        <w:t>-  sum</w:t>
      </w:r>
      <w:proofErr w:type="gramEnd"/>
      <w:r w:rsidRPr="003A1B7B">
        <w:rPr>
          <w:rFonts w:ascii="Arial Narrow" w:hAnsi="Arial Narrow"/>
        </w:rPr>
        <w:t xml:space="preserve"> of </w:t>
      </w:r>
      <w:r w:rsidRPr="003A1B7B">
        <w:rPr>
          <w:rFonts w:ascii="Arial Narrow" w:hAnsi="Arial Narrow"/>
          <w:b/>
          <w:bCs/>
        </w:rPr>
        <w:t>£25,000</w:t>
      </w:r>
      <w:r w:rsidRPr="003A1B7B">
        <w:rPr>
          <w:rFonts w:ascii="Arial Narrow" w:hAnsi="Arial Narrow"/>
        </w:rPr>
        <w:t xml:space="preserve"> (Twenty Five Thousand Pounds) freehold with vacant possession. </w:t>
      </w:r>
    </w:p>
    <w:p w14:paraId="54A53F4A" w14:textId="68365070" w:rsidR="00797733" w:rsidRPr="003A1B7B" w:rsidRDefault="00797733" w:rsidP="003A1B7B">
      <w:pPr>
        <w:pStyle w:val="ListParagraph"/>
        <w:ind w:left="1080"/>
        <w:jc w:val="both"/>
        <w:rPr>
          <w:rFonts w:ascii="Arial Narrow" w:hAnsi="Arial Narrow"/>
        </w:rPr>
      </w:pPr>
    </w:p>
    <w:p w14:paraId="7CE0C0C1" w14:textId="77777777" w:rsidR="00797733" w:rsidRPr="003A1B7B" w:rsidRDefault="00797733" w:rsidP="003A1B7B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A1B7B">
        <w:rPr>
          <w:rFonts w:ascii="Arial Narrow" w:hAnsi="Arial Narrow"/>
          <w:u w:val="single"/>
        </w:rPr>
        <w:t xml:space="preserve">Overall Opinion on the Proposal </w:t>
      </w:r>
    </w:p>
    <w:p w14:paraId="554F9DDA" w14:textId="77777777" w:rsidR="00797733" w:rsidRPr="003A1B7B" w:rsidRDefault="00797733" w:rsidP="003A1B7B">
      <w:pPr>
        <w:pStyle w:val="ListParagraph"/>
        <w:jc w:val="both"/>
        <w:rPr>
          <w:rFonts w:ascii="Arial Narrow" w:hAnsi="Arial Narrow"/>
        </w:rPr>
      </w:pPr>
      <w:r w:rsidRPr="003A1B7B">
        <w:rPr>
          <w:rFonts w:ascii="Arial Narrow" w:hAnsi="Arial Narrow"/>
        </w:rPr>
        <w:t xml:space="preserve"> </w:t>
      </w:r>
    </w:p>
    <w:p w14:paraId="5308CC2C" w14:textId="121CE379" w:rsidR="00797733" w:rsidRDefault="00797733" w:rsidP="003A1B7B">
      <w:pPr>
        <w:ind w:left="360"/>
        <w:jc w:val="both"/>
        <w:rPr>
          <w:rFonts w:ascii="Arial Narrow" w:hAnsi="Arial Narrow"/>
          <w:i/>
          <w:iCs/>
        </w:rPr>
      </w:pPr>
      <w:r w:rsidRPr="003A1B7B">
        <w:rPr>
          <w:rFonts w:ascii="Arial Narrow" w:hAnsi="Arial Narrow"/>
        </w:rPr>
        <w:t xml:space="preserve"> </w:t>
      </w:r>
      <w:r w:rsidRPr="003A1B7B">
        <w:rPr>
          <w:rFonts w:ascii="Arial Narrow" w:hAnsi="Arial Narrow"/>
          <w:i/>
          <w:iCs/>
        </w:rPr>
        <w:t>“We consider both parties benefit from this transaction progressing in terms of the proposed end user and in summary it is considered the proposed land swap represents a fair exchange in terms of value.”</w:t>
      </w:r>
    </w:p>
    <w:p w14:paraId="527FBB89" w14:textId="7837DB92" w:rsidR="00DA6A9D" w:rsidRDefault="00DA6A9D" w:rsidP="003A1B7B">
      <w:pPr>
        <w:ind w:left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------------------------</w:t>
      </w:r>
    </w:p>
    <w:p w14:paraId="63D1DEFF" w14:textId="2E7A8D5F" w:rsidR="003A1B7B" w:rsidRDefault="00E55E00" w:rsidP="00DA6A9D"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ab/>
        <w:t xml:space="preserve">See </w:t>
      </w:r>
      <w:r w:rsidR="00DA6A9D">
        <w:rPr>
          <w:rFonts w:ascii="Arial Narrow" w:hAnsi="Arial Narrow"/>
        </w:rPr>
        <w:t>plans on next page</w:t>
      </w:r>
    </w:p>
    <w:p w14:paraId="744B3548" w14:textId="6743598F" w:rsidR="00E55E00" w:rsidRPr="00DA6A9D" w:rsidRDefault="00E55E00" w:rsidP="00DA6A9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40FCEAE" w14:textId="7AE73634" w:rsidR="00797733" w:rsidRDefault="00797733" w:rsidP="00E55E00">
      <w:pPr>
        <w:pStyle w:val="ListParagraph"/>
        <w:numPr>
          <w:ilvl w:val="0"/>
          <w:numId w:val="1"/>
        </w:numPr>
        <w:ind w:left="-142" w:firstLine="502"/>
      </w:pPr>
      <w:r>
        <w:lastRenderedPageBreak/>
        <w:t>Plans:</w:t>
      </w:r>
    </w:p>
    <w:p w14:paraId="1317535E" w14:textId="16D8C1C6" w:rsidR="00797733" w:rsidRDefault="00797733" w:rsidP="00797733">
      <w:pPr>
        <w:pStyle w:val="ListParagraph"/>
      </w:pPr>
    </w:p>
    <w:p w14:paraId="12753EFB" w14:textId="2E42921E" w:rsidR="00B7444E" w:rsidRDefault="00E55E00" w:rsidP="00E55E00">
      <w:pPr>
        <w:pStyle w:val="ListParagraph"/>
        <w:ind w:left="-426"/>
      </w:pPr>
      <w:r>
        <w:rPr>
          <w:noProof/>
        </w:rPr>
        <w:drawing>
          <wp:inline distT="0" distB="0" distL="0" distR="0" wp14:anchorId="4AEC5972" wp14:editId="1B45398A">
            <wp:extent cx="6306379" cy="2616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ty Green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532" cy="267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D36C8" w14:textId="4464DFB1" w:rsidR="00DA6A9D" w:rsidRDefault="00EB15FC" w:rsidP="00E55E00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00DB3D08" wp14:editId="30DB7709">
            <wp:extent cx="1894696" cy="27256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02" cy="27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278BA" wp14:editId="50DD45D9">
            <wp:extent cx="1989666" cy="281167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03" cy="28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9D">
        <w:t>-----------------</w:t>
      </w:r>
    </w:p>
    <w:p w14:paraId="6B03F1BF" w14:textId="77777777" w:rsidR="00E55E00" w:rsidRDefault="00E55E00" w:rsidP="00E55E00">
      <w:pPr>
        <w:pStyle w:val="ListParagraph"/>
        <w:ind w:left="0"/>
      </w:pPr>
    </w:p>
    <w:p w14:paraId="2A5A3682" w14:textId="30D6C47B" w:rsidR="00E55E00" w:rsidRDefault="00E55E00" w:rsidP="00E55E00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55A5D72A" wp14:editId="563C59F2">
            <wp:extent cx="1749438" cy="2472201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55" cy="24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C31E" w14:textId="5300204D" w:rsidR="00E55E00" w:rsidRPr="00E55E00" w:rsidRDefault="00E55E00" w:rsidP="00E55E00">
      <w:pPr>
        <w:pStyle w:val="ListParagraph"/>
        <w:ind w:left="0"/>
        <w:jc w:val="right"/>
        <w:rPr>
          <w:u w:val="single"/>
        </w:rPr>
      </w:pPr>
      <w:r w:rsidRPr="00E55E00">
        <w:rPr>
          <w:u w:val="single"/>
        </w:rPr>
        <w:t>Lockington Parish Council 30.06.2020</w:t>
      </w:r>
    </w:p>
    <w:sectPr w:rsidR="00E55E00" w:rsidRPr="00E5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0A52"/>
    <w:multiLevelType w:val="hybridMultilevel"/>
    <w:tmpl w:val="2C7AA37A"/>
    <w:lvl w:ilvl="0" w:tplc="993E6A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56A7D"/>
    <w:multiLevelType w:val="hybridMultilevel"/>
    <w:tmpl w:val="C67C0B98"/>
    <w:lvl w:ilvl="0" w:tplc="CC16E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893"/>
    <w:multiLevelType w:val="hybridMultilevel"/>
    <w:tmpl w:val="A5041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E"/>
    <w:rsid w:val="001C6B9A"/>
    <w:rsid w:val="002E42BA"/>
    <w:rsid w:val="003A1B7B"/>
    <w:rsid w:val="004779E6"/>
    <w:rsid w:val="004E6B3C"/>
    <w:rsid w:val="00536FC7"/>
    <w:rsid w:val="005F6A8E"/>
    <w:rsid w:val="00632406"/>
    <w:rsid w:val="00797733"/>
    <w:rsid w:val="007E1E05"/>
    <w:rsid w:val="00B7444E"/>
    <w:rsid w:val="00C2469F"/>
    <w:rsid w:val="00CE7D9E"/>
    <w:rsid w:val="00DA6A9D"/>
    <w:rsid w:val="00DB0B0A"/>
    <w:rsid w:val="00E55E00"/>
    <w:rsid w:val="00E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FA2"/>
  <w15:chartTrackingRefBased/>
  <w15:docId w15:val="{CB21DFFA-4D9F-487E-9D76-AE86033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Marshall</dc:creator>
  <cp:keywords/>
  <dc:description/>
  <cp:lastModifiedBy>Gareth Rees</cp:lastModifiedBy>
  <cp:revision>3</cp:revision>
  <dcterms:created xsi:type="dcterms:W3CDTF">2020-06-30T13:47:00Z</dcterms:created>
  <dcterms:modified xsi:type="dcterms:W3CDTF">2020-06-30T13:56:00Z</dcterms:modified>
</cp:coreProperties>
</file>